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65"/>
        </w:tabs>
        <w:spacing w:line="360" w:lineRule="auto"/>
        <w:rPr>
          <w:rFonts w:hint="eastAsia" w:ascii="仿宋" w:hAnsi="仿宋" w:eastAsia="仿宋" w:cs="仿宋"/>
          <w:bCs/>
          <w:color w:val="auto"/>
          <w:sz w:val="32"/>
        </w:rPr>
      </w:pPr>
      <w:r>
        <w:rPr>
          <w:rFonts w:hint="eastAsia" w:ascii="仿宋" w:hAnsi="仿宋" w:eastAsia="仿宋" w:cs="仿宋"/>
          <w:bCs/>
          <w:color w:val="auto"/>
          <w:sz w:val="32"/>
        </w:rPr>
        <w:t>附件</w:t>
      </w:r>
      <w:r>
        <w:rPr>
          <w:rFonts w:hint="eastAsia" w:ascii="仿宋" w:hAnsi="仿宋" w:eastAsia="仿宋" w:cs="仿宋"/>
          <w:bCs/>
          <w:color w:val="auto"/>
          <w:sz w:val="32"/>
          <w:lang w:val="en-US" w:eastAsia="zh-CN"/>
        </w:rPr>
        <w:t>一：</w:t>
      </w:r>
    </w:p>
    <w:p>
      <w:pPr>
        <w:widowControl/>
        <w:tabs>
          <w:tab w:val="left" w:pos="1965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赤峰市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智能化优质工程奖评选办法</w:t>
      </w:r>
    </w:p>
    <w:p>
      <w:pPr>
        <w:widowControl/>
        <w:tabs>
          <w:tab w:val="left" w:pos="1965"/>
        </w:tabs>
        <w:spacing w:line="360" w:lineRule="auto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暂 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</w:p>
    <w:p>
      <w:pPr>
        <w:widowControl/>
        <w:tabs>
          <w:tab w:val="left" w:pos="1965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</w:p>
    <w:p>
      <w:pPr>
        <w:widowControl/>
        <w:tabs>
          <w:tab w:val="left" w:pos="1965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第一章  总  则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为贯彻落实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“百年大计、质量第一”的方针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加快我市基础设施的智能化改造普及和发展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，规范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赤峰市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智能化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优质工程奖评选活动，特制定本办法。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建筑业协会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shd w:val="clear" w:color="auto" w:fill="auto"/>
          <w:lang w:eastAsia="zh-CN" w:bidi="ar"/>
        </w:rPr>
        <w:t>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推荐参加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shd w:val="clear" w:color="auto" w:fill="auto"/>
          <w:lang w:bidi="ar"/>
        </w:rPr>
        <w:t>上级协会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shd w:val="clear" w:color="auto" w:fill="auto"/>
          <w:lang w:eastAsia="zh-CN" w:bidi="ar"/>
        </w:rPr>
        <w:t>的必备条件。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智能化优质工程评选本着“设计合理、功能完善、施工规范、节能高效、安全便利”的原则。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评选工作以智能化系统施工工艺及技术创新、系统运行良好、取得社会经济效益、节能策略为主。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评选依据国家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自治区、赤峰市有关规定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凡我会会员单位，具有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建筑机电工程专业承包（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电子与智能化工程专业承包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建筑机电安装工程专业承包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城市及道路照明工程专业承包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及通信施工等相关资质的单位均可申报。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评选工作坚持科学、公开、公平、公正的原则，评选结果将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建筑业协会公布。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第二章  评选范围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智能化优质工程评选工程类型包括：新建、改建、扩建公共建筑和居住建筑类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工程及相关智能化工程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工程规模：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（一）公共建筑类智能化工程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绿色建造、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保护自然资源和生态环境、节能减排以及智能化系统建设等方面有技术创新优势，其综合技术指标优于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内同类工程，且工程造价在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万（含）元以上，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以下智能化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综合布线系统；计算机网络系统；电话交换系统；建筑设备监控系统；安全防范系统；公共广播系统；智能照明系统；智能卡应用系统；防雷接地系统；有线电视及卫星电视接收系统；能源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计量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测量与管理系统；智能化集成系统；物业运营管理系统；机房工程、建筑设备监控系统；信息导引及发布系统；会议系统；室内移动通讯覆盖系统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舞台灯光音响系统；智慧平台建设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（二）住宅建筑（住宅小区含高层型住宅小区和别墅型住宅小区），在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绿色建造、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保护自然资源和生态环境、节能减排以及智能化系统建设等方面有技术创新优势，其综合技术指标优于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内同类工程，智能化工程造价在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（含）万元以上，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以下智能化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系统：通信管网、综合布线系统；计算机网络系统（含电话交换系统）；安全防范系统；公共广播系统；能源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计量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测量与管理系统；物业运营管理系统；机房工程、建筑设备监控系统；可视对讲系统；智能家居系统；信息导引及发布系统等。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（三）其他类：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绿色建造、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保护自然资源和生态环境、节能减排以及智能化系统建设等方面有技术创新优势，其综合技术指标优于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内同类工程，智能化工程造价在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（含）万元以上，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旗县地区工程质量优良、社会效益明显、群众口碑良好的工程规模标准可适当下调，但调幅不超过30%。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不列入评选范围的工程：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质量、安全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事故的工程；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（二）保密工程；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（三）有拖欠工程款和农民工工资的工程；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曾参加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评选没有入选的工程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存在用户（业主）投诉且经查实的工程。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第三章  申报条件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智能化优质工程，应具备以下条件：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（一）申报单位应具有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建筑机电工程专业承包（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电子与智能化工程专业承包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建筑机电安装工程专业承包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城市及道路照明工程专业承包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及通信施工等相关资质和安全生产许可证书。  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（二）智能化工程施工符合国家和地方相关智能建筑设计、施工标准及规范的要求，工程质量达到国家和地方相关验收技术标准和验收规范的要求。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根据工程设计文件和合同技术文件，已完成系统的全部设备安装和调试工作；竣工验收工作已经完成，工程质量达到合格，已经办理工程竣工验收备案手续（如新建工程按整体工程竣工验收备案手续为准）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（四）建筑智能化系统竣工验收后，投入使用并连续运行三个月以上，没有发生质量问题或隐患，无质量投诉，有用户意见。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第四章  申报材料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申报资料的内容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智能化优质工程奖申报表》；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2、承诺书、事故情况证明；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、企业营业执照、资质证明、相关许可证一份；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4、该工程建造师（项目经理）证书一份（机电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专业或通信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广电专业）；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、工程竣工验收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及决算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定案表（盖章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承包合同书(只需提供金额及盖章相关页)；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7、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创优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创精品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8、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监理评价报告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；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能反映工程概貌和主要部位的工程彩色数码照片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10张。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第五章  工程评审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 w:firstLine="642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的资料审查、工程复查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的具体工作由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建筑业协会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秘书处负责组织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，复查和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bidi="ar"/>
        </w:rPr>
        <w:t>评审组成人员由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 w:bidi="ar"/>
        </w:rPr>
        <w:t>赤峰市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建筑业协会专家库抽选。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工程复查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由功能效益评估、设计与施工及产品质量评估、运行维护与资料评估三个部分组成，实施量化综合评估。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shd w:val="clear" w:color="auto" w:fill="FFFFFF"/>
        </w:rPr>
        <w:t>复查组撰写工程复查报告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shd w:val="clear" w:color="auto" w:fill="FFFFFF"/>
        </w:rPr>
        <w:t>复查报告要对受检工程的质量状况做出评价，明确提出“推荐”或“不推荐”的意见。</w:t>
      </w:r>
    </w:p>
    <w:p>
      <w:pPr>
        <w:ind w:firstLine="803" w:firstLineChars="25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 xml:space="preserve">第十四条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工程复查结束后，复查小组向评审委员会提交复查报告，评审委员会在建筑业协会组织下开展评审工作，评审委员会</w:t>
      </w:r>
      <w:r>
        <w:rPr>
          <w:rFonts w:hint="eastAsia" w:ascii="仿宋" w:hAnsi="仿宋" w:eastAsia="仿宋"/>
          <w:color w:val="auto"/>
          <w:sz w:val="32"/>
          <w:szCs w:val="32"/>
        </w:rPr>
        <w:t>根据复查组复查结果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每年</w:t>
      </w:r>
      <w:r>
        <w:rPr>
          <w:rFonts w:hint="eastAsia" w:ascii="仿宋" w:hAnsi="仿宋" w:eastAsia="仿宋"/>
          <w:color w:val="auto"/>
          <w:sz w:val="32"/>
          <w:szCs w:val="32"/>
        </w:rPr>
        <w:t>组织召开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一次</w:t>
      </w:r>
      <w:r>
        <w:rPr>
          <w:rFonts w:hint="eastAsia" w:ascii="仿宋" w:hAnsi="仿宋" w:eastAsia="仿宋"/>
          <w:color w:val="auto"/>
          <w:sz w:val="32"/>
          <w:szCs w:val="32"/>
        </w:rPr>
        <w:t>综合评审会，最终确定获奖工程名单。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评审结果由赤峰市建筑业协会进行表彰。</w:t>
      </w:r>
    </w:p>
    <w:p>
      <w:pPr>
        <w:widowControl/>
        <w:ind w:firstLine="561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第六章  工作纪律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评选工作必须认真执行国家有关工程建设质量管理的法律、法规和国家、行业有关标准、规范、规程和自治区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的有关规定。凡参与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评选工作的人员，必须严格执行本办法及有关纪律规定，严禁收受任何单位或相关个人赠送的礼品、礼金、纪念品、有价证券、支付凭证等。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工程复查和评审专家实行回避制度，复查专家不得参与复查本单位的申报工程。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申报单位不得弄虚作假、请客送礼。否则，视情节给予批评教育，直至取消申报和获奖资格。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凡违反本办法及有关纪律规定，情节严重的，对申报单位取消参评资格；对复查、评审专家取消复查或评审资格，取消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建筑业协会专家库专家资格；对有关工作人员建议所在单位给予严肃处理。 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第六章  奖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罚</w:t>
      </w:r>
    </w:p>
    <w:p>
      <w:pPr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有关地区、部门和获奖企业可根据本地区、本部门和本企业的实际情况，对获奖企业及有关人员给予奖励。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二</w:t>
      </w:r>
      <w:r>
        <w:rPr>
          <w:rFonts w:hint="default" w:ascii="仿宋_GB2312" w:hAnsi="仿宋_GB2312" w:eastAsia="仿宋_GB2312" w:cs="仿宋_GB2312"/>
          <w:b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已经获得“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”称号的工程，若发现工程质量存在严重问题或隐患，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建筑业协会要组织专家对该工程进行复核鉴定，并有权作出取消该工程“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赤峰市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智能化优质工程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”称号的决定。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章  附  则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本办法由赤峰市建筑业协会负责解释。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第二十二条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本办法自公布之日起实施。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2022年5月20日</w:t>
      </w:r>
      <w:r>
        <w:rPr>
          <w:rFonts w:hint="eastAsia" w:ascii="仿宋" w:hAnsi="仿宋" w:eastAsia="仿宋"/>
          <w:color w:val="auto"/>
          <w:sz w:val="32"/>
          <w:szCs w:val="32"/>
        </w:rPr>
        <w:t>颁发的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赤峰市智能化优质工程奖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评选办法》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赤建协〔20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）同时废止。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ABCA70-97A5-441E-9404-FD684B5B08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3F3B7D-952C-4078-BB42-8A1B378C94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E2BCF7-826E-430B-BAAD-FE591B8F40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A3A073E-49AE-4DCC-A09E-F5F72F3C18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ZjA4Y2U2NjVhOTRlMDgyMDg5MmJkYmE0OGMyM2MifQ=="/>
  </w:docVars>
  <w:rsids>
    <w:rsidRoot w:val="33355E82"/>
    <w:rsid w:val="02E5666D"/>
    <w:rsid w:val="03E83D10"/>
    <w:rsid w:val="202F197D"/>
    <w:rsid w:val="2AC80DE7"/>
    <w:rsid w:val="2F8C6122"/>
    <w:rsid w:val="33355E82"/>
    <w:rsid w:val="33BC18EF"/>
    <w:rsid w:val="3CFFC0C8"/>
    <w:rsid w:val="3ECB4744"/>
    <w:rsid w:val="45C3025E"/>
    <w:rsid w:val="48D569F9"/>
    <w:rsid w:val="49FF5D37"/>
    <w:rsid w:val="51BF23F8"/>
    <w:rsid w:val="56113DEC"/>
    <w:rsid w:val="5CE266CC"/>
    <w:rsid w:val="5FA07A41"/>
    <w:rsid w:val="65610C56"/>
    <w:rsid w:val="7F577D60"/>
    <w:rsid w:val="7F9F4E77"/>
    <w:rsid w:val="7FAF1463"/>
    <w:rsid w:val="B56EF3CF"/>
    <w:rsid w:val="ED8A84FE"/>
    <w:rsid w:val="FF7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2592</Words>
  <Characters>2611</Characters>
  <Lines>0</Lines>
  <Paragraphs>0</Paragraphs>
  <TotalTime>6</TotalTime>
  <ScaleCrop>false</ScaleCrop>
  <LinksUpToDate>false</LinksUpToDate>
  <CharactersWithSpaces>2683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2021-07-06T10:01:00Z</dcterms:created>
  <dc:creator>awaken the soul</dc:creator>
  <cp:lastModifiedBy>卢霖</cp:lastModifiedBy>
  <dcterms:modified xsi:type="dcterms:W3CDTF">2023-03-14T03:06:26Z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C0F88F0707CF4E71BC139E80E627C2AD</vt:lpwstr>
  </property>
</Properties>
</file>